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Override PartName="/word/media/image1.jpeg" ContentType="image/jpeg"/>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A"/>
        <w:jc w:val="center"/>
        <w:rPr>
          <w:rFonts w:ascii="Arial" w:cs="Arial" w:hAnsi="Arial" w:eastAsia="Arial"/>
          <w:b w:val="1"/>
          <w:bCs w:val="1"/>
        </w:rPr>
      </w:pPr>
      <w:r>
        <w:rPr>
          <w:rFonts w:ascii="Arial" w:hAnsi="Arial"/>
          <w:b w:val="1"/>
          <w:bCs w:val="1"/>
          <w:rtl w:val="0"/>
          <w:lang w:val="en-US"/>
        </w:rPr>
        <w:t>To: Aelodau o Cyngor Cymuned Mawr/Members of Mawr Community Council.</w:t>
      </w:r>
    </w:p>
    <w:p>
      <w:pPr>
        <w:pStyle w:val="Body A"/>
        <w:jc w:val="center"/>
        <w:rPr>
          <w:rFonts w:ascii="Arial" w:cs="Arial" w:hAnsi="Arial" w:eastAsia="Arial"/>
          <w:b w:val="1"/>
          <w:bCs w:val="1"/>
        </w:rPr>
      </w:pPr>
      <w:r>
        <w:rPr>
          <w:rFonts w:ascii="Arial" w:hAnsi="Arial"/>
          <w:b w:val="1"/>
          <w:bCs w:val="1"/>
          <w:caps w:val="1"/>
          <w:rtl w:val="0"/>
          <w:lang w:val="en-US"/>
        </w:rPr>
        <w:t>Members are summoned to attend a meeting of Mawr Community Council FINANCE, EMPLOYMENT AND POLICY COMMITTEE</w:t>
      </w:r>
    </w:p>
    <w:p>
      <w:pPr>
        <w:pStyle w:val="Body A"/>
        <w:jc w:val="center"/>
        <w:rPr>
          <w:rFonts w:ascii="Arial" w:cs="Arial" w:hAnsi="Arial" w:eastAsia="Arial"/>
          <w:b w:val="1"/>
          <w:bCs w:val="1"/>
          <w:caps w:val="1"/>
        </w:rPr>
      </w:pPr>
      <w:r>
        <w:rPr>
          <w:rFonts w:ascii="Arial" w:hAnsi="Arial"/>
          <w:b w:val="1"/>
          <w:bCs w:val="1"/>
          <w:rtl w:val="0"/>
          <w:lang w:val="en-US"/>
        </w:rPr>
        <w:t>Held remotely via Zoom on Thursday 22nd August 2024 at 7.00pm.</w:t>
      </w:r>
    </w:p>
    <w:p>
      <w:pPr>
        <w:pStyle w:val="Body A"/>
        <w:jc w:val="center"/>
        <w:rPr>
          <w:rFonts w:ascii="Arial" w:cs="Arial" w:hAnsi="Arial" w:eastAsia="Arial"/>
          <w:b w:val="1"/>
          <w:bCs w:val="1"/>
        </w:rPr>
      </w:pPr>
      <w:r>
        <w:rPr>
          <w:rFonts w:ascii="Arial" w:hAnsi="Arial"/>
          <w:b w:val="1"/>
          <w:bCs w:val="1"/>
          <w:rtl w:val="0"/>
          <w:lang w:val="en-US"/>
        </w:rPr>
        <w:t>Press and public are not permitted to attend</w:t>
      </w:r>
    </w:p>
    <w:p>
      <w:pPr>
        <w:pStyle w:val="Body A"/>
        <w:jc w:val="center"/>
        <w:rPr>
          <w:rFonts w:ascii="Arial" w:cs="Arial" w:hAnsi="Arial" w:eastAsia="Arial"/>
        </w:rPr>
      </w:pPr>
    </w:p>
    <w:p>
      <w:pPr>
        <w:pStyle w:val="Body A"/>
        <w:rPr>
          <w:rFonts w:ascii="Arial" w:cs="Arial" w:hAnsi="Arial" w:eastAsia="Arial"/>
          <w:outline w:val="0"/>
          <w:color w:val="616074"/>
          <w:u w:color="616074"/>
          <w14:textFill>
            <w14:solidFill>
              <w14:srgbClr w14:val="616074"/>
            </w14:solidFill>
          </w14:textFill>
        </w:rPr>
      </w:pPr>
    </w:p>
    <w:p>
      <w:pPr>
        <w:pStyle w:val="Body A"/>
        <w:jc w:val="center"/>
        <w:rPr>
          <w:rFonts w:ascii="Arial" w:cs="Arial" w:hAnsi="Arial" w:eastAsia="Arial"/>
          <w:b w:val="1"/>
          <w:bCs w:val="1"/>
          <w:u w:val="single"/>
          <w:lang w:val="de-DE"/>
        </w:rPr>
      </w:pPr>
      <w:r>
        <w:rPr>
          <w:rFonts w:ascii="Arial" w:hAnsi="Arial"/>
          <w:b w:val="1"/>
          <w:bCs w:val="1"/>
          <w:u w:val="single"/>
          <w:rtl w:val="0"/>
          <w:lang w:val="de-DE"/>
        </w:rPr>
        <w:t>AGENDA</w:t>
      </w:r>
    </w:p>
    <w:p>
      <w:pPr>
        <w:pStyle w:val="Body A"/>
        <w:rPr>
          <w:rFonts w:ascii="Arial" w:cs="Arial" w:hAnsi="Arial" w:eastAsia="Arial"/>
          <w:b w:val="1"/>
          <w:bCs w:val="1"/>
          <w:u w:val="single"/>
        </w:rPr>
      </w:pPr>
    </w:p>
    <w:p>
      <w:pPr>
        <w:pStyle w:val="Body A"/>
        <w:spacing w:after="100"/>
        <w:rPr>
          <w:rFonts w:ascii="Arial" w:cs="Arial" w:hAnsi="Arial" w:eastAsia="Arial"/>
          <w:outline w:val="0"/>
          <w:color w:val="2c363a"/>
          <w:u w:color="2c363a"/>
          <w:shd w:val="clear" w:color="auto" w:fill="ffffff"/>
          <w14:textFill>
            <w14:solidFill>
              <w14:srgbClr w14:val="2C363A"/>
            </w14:solidFill>
          </w14:textFill>
        </w:rPr>
      </w:pPr>
      <w:r>
        <w:rPr>
          <w:rFonts w:ascii="Arial" w:hAnsi="Arial"/>
          <w:b w:val="1"/>
          <w:bCs w:val="1"/>
          <w:outline w:val="0"/>
          <w:color w:val="2c363a"/>
          <w:u w:color="2c363a"/>
          <w:rtl w:val="0"/>
          <w:lang w:val="en-US"/>
          <w14:textFill>
            <w14:solidFill>
              <w14:srgbClr w14:val="2C363A"/>
            </w14:solidFill>
          </w14:textFill>
        </w:rPr>
        <w:t>Apologies for Absence</w:t>
      </w:r>
      <w:r>
        <w:rPr>
          <w:rFonts w:ascii="Arial" w:cs="Arial" w:hAnsi="Arial" w:eastAsia="Arial"/>
          <w:b w:val="1"/>
          <w:bCs w:val="1"/>
          <w:outline w:val="0"/>
          <w:color w:val="2c363a"/>
          <w:u w:color="2c363a"/>
          <w14:textFill>
            <w14:solidFill>
              <w14:srgbClr w14:val="2C363A"/>
            </w14:solidFill>
          </w14:textFill>
        </w:rPr>
        <w:br w:type="textWrapping"/>
      </w:r>
      <w:r>
        <w:rPr>
          <w:rFonts w:ascii="Arial" w:hAnsi="Arial"/>
          <w:outline w:val="0"/>
          <w:color w:val="2c363a"/>
          <w:u w:color="2c363a"/>
          <w:shd w:val="clear" w:color="auto" w:fill="ffffff"/>
          <w:rtl w:val="0"/>
          <w:lang w:val="en-US"/>
          <w14:textFill>
            <w14:solidFill>
              <w14:srgbClr w14:val="2C363A"/>
            </w14:solidFill>
          </w14:textFill>
        </w:rPr>
        <w:t>Schedule 12 of the Local Government Act 1972 requires a record to be kept of the members present and that this record form part of the minutes of the meeting. Members who cannot attend a meeting should tender apologies to the Clerk as it is usual for the grounds upon which apologies are tendered also to be recorded.</w:t>
      </w:r>
    </w:p>
    <w:p>
      <w:pPr>
        <w:pStyle w:val="Body A"/>
        <w:spacing w:after="100"/>
        <w:rPr>
          <w:rFonts w:ascii="Arial" w:cs="Arial" w:hAnsi="Arial" w:eastAsia="Arial"/>
          <w:outline w:val="0"/>
          <w:color w:val="2c363a"/>
          <w:u w:color="2c363a"/>
          <w:shd w:val="clear" w:color="auto" w:fill="ffffff"/>
          <w14:textFill>
            <w14:solidFill>
              <w14:srgbClr w14:val="2C363A"/>
            </w14:solidFill>
          </w14:textFill>
        </w:rPr>
      </w:pPr>
    </w:p>
    <w:p>
      <w:pPr>
        <w:pStyle w:val="Body A"/>
        <w:spacing w:after="100"/>
        <w:rPr>
          <w:rFonts w:ascii="Arial" w:cs="Arial" w:hAnsi="Arial" w:eastAsia="Arial"/>
          <w:b w:val="1"/>
          <w:bCs w:val="1"/>
          <w:outline w:val="0"/>
          <w:color w:val="2c363a"/>
          <w:u w:color="2c363a"/>
          <w14:textFill>
            <w14:solidFill>
              <w14:srgbClr w14:val="2C363A"/>
            </w14:solidFill>
          </w14:textFill>
        </w:rPr>
      </w:pPr>
      <w:r>
        <w:rPr>
          <w:rFonts w:ascii="Arial" w:hAnsi="Arial"/>
          <w:b w:val="1"/>
          <w:bCs w:val="1"/>
          <w:outline w:val="0"/>
          <w:color w:val="2c363a"/>
          <w:u w:color="2c363a"/>
          <w:rtl w:val="0"/>
          <w:lang w:val="en-US"/>
          <w14:textFill>
            <w14:solidFill>
              <w14:srgbClr w14:val="2C363A"/>
            </w14:solidFill>
          </w14:textFill>
        </w:rPr>
        <w:t>Declarations of Interest</w:t>
      </w:r>
    </w:p>
    <w:p>
      <w:pPr>
        <w:pStyle w:val="Body A"/>
        <w:spacing w:after="100"/>
        <w:rPr>
          <w:rFonts w:ascii="Arial" w:cs="Arial" w:hAnsi="Arial" w:eastAsia="Arial"/>
          <w:b w:val="1"/>
          <w:bCs w:val="1"/>
          <w:outline w:val="0"/>
          <w:color w:val="2c363a"/>
          <w:u w:color="2c363a"/>
          <w14:textFill>
            <w14:solidFill>
              <w14:srgbClr w14:val="2C363A"/>
            </w14:solidFill>
          </w14:textFill>
        </w:rPr>
      </w:pPr>
    </w:p>
    <w:p>
      <w:pPr>
        <w:pStyle w:val="Body A"/>
        <w:spacing w:after="100"/>
        <w:rPr>
          <w:u w:color="2c363a"/>
        </w:rPr>
      </w:pPr>
      <w:r>
        <w:rPr>
          <w:rFonts w:ascii="Arial" w:hAnsi="Arial"/>
          <w:i w:val="1"/>
          <w:iCs w:val="1"/>
          <w:sz w:val="20"/>
          <w:szCs w:val="20"/>
          <w:u w:color="2c363a"/>
          <w:rtl w:val="0"/>
          <w:lang w:val="en-US"/>
        </w:rPr>
        <w:t>Under the Public Bodies (Admission to Meetings) Act 1960, the public and representatives of the press and broadcast media be excluded from the meeting during the consideration of the following items of business as publicity would be prejudicial to the public interest because of the confidential nature of the business to be transacted.</w:t>
      </w:r>
      <w:r>
        <w:rPr>
          <w:rFonts w:ascii="Arial" w:cs="Arial" w:hAnsi="Arial" w:eastAsia="Arial"/>
          <w:i w:val="1"/>
          <w:iCs w:val="1"/>
          <w:sz w:val="20"/>
          <w:szCs w:val="20"/>
          <w:u w:color="2c363a"/>
        </w:rPr>
        <w:br w:type="textWrapping"/>
      </w:r>
    </w:p>
    <w:p>
      <w:pPr>
        <w:pStyle w:val="List Paragraph"/>
        <w:numPr>
          <w:ilvl w:val="0"/>
          <w:numId w:val="2"/>
        </w:numPr>
        <w:bidi w:val="0"/>
        <w:ind w:right="0"/>
        <w:jc w:val="left"/>
        <w:rPr>
          <w:rFonts w:ascii="Arial" w:hAnsi="Arial"/>
          <w:b w:val="1"/>
          <w:bCs w:val="1"/>
          <w:outline w:val="0"/>
          <w:color w:val="2c363a"/>
          <w:rtl w:val="0"/>
          <w:lang w:val="en-US"/>
          <w14:textFill>
            <w14:solidFill>
              <w14:srgbClr w14:val="2C363A"/>
            </w14:solidFill>
          </w14:textFill>
        </w:rPr>
      </w:pPr>
      <w:r>
        <w:rPr>
          <w:rFonts w:ascii="Arial" w:hAnsi="Arial"/>
          <w:b w:val="1"/>
          <w:bCs w:val="1"/>
          <w:outline w:val="0"/>
          <w:color w:val="2c363a"/>
          <w:u w:color="2c363a"/>
          <w:rtl w:val="0"/>
          <w:lang w:val="en-US"/>
          <w14:textFill>
            <w14:solidFill>
              <w14:srgbClr w14:val="2C363A"/>
            </w14:solidFill>
          </w14:textFill>
        </w:rPr>
        <w:t xml:space="preserve">To consider complaints from Hall Committees </w:t>
      </w:r>
    </w:p>
    <w:p>
      <w:pPr>
        <w:pStyle w:val="List Paragraph"/>
        <w:numPr>
          <w:ilvl w:val="0"/>
          <w:numId w:val="3"/>
        </w:numPr>
        <w:bidi w:val="0"/>
        <w:ind w:right="0"/>
        <w:jc w:val="left"/>
        <w:rPr>
          <w:rFonts w:ascii="Arial" w:hAnsi="Arial"/>
          <w:b w:val="1"/>
          <w:bCs w:val="1"/>
          <w:outline w:val="0"/>
          <w:color w:val="2c363a"/>
          <w:rtl w:val="0"/>
          <w:lang w:val="en-US"/>
          <w14:textFill>
            <w14:solidFill>
              <w14:srgbClr w14:val="2C363A"/>
            </w14:solidFill>
          </w14:textFill>
        </w:rPr>
      </w:pPr>
      <w:r>
        <w:rPr>
          <w:rFonts w:ascii="Arial" w:hAnsi="Arial"/>
          <w:b w:val="1"/>
          <w:bCs w:val="1"/>
          <w:outline w:val="0"/>
          <w:color w:val="2c363a"/>
          <w:u w:color="2c363a"/>
          <w:rtl w:val="0"/>
          <w:lang w:val="en-US"/>
          <w14:textFill>
            <w14:solidFill>
              <w14:srgbClr w14:val="2C363A"/>
            </w14:solidFill>
          </w14:textFill>
        </w:rPr>
        <w:t xml:space="preserve">   </w:t>
      </w:r>
      <w:r>
        <w:rPr>
          <w:rFonts w:ascii="Arial" w:hAnsi="Arial"/>
          <w:b w:val="1"/>
          <w:bCs w:val="1"/>
          <w:outline w:val="0"/>
          <w:color w:val="2c363a"/>
          <w:u w:color="2c363a"/>
          <w:rtl w:val="0"/>
          <w:lang w:val="en-US"/>
          <w14:textFill>
            <w14:solidFill>
              <w14:srgbClr w14:val="2C363A"/>
            </w14:solidFill>
          </w14:textFill>
        </w:rPr>
        <w:t>To consider Employee conduct and agree a way forward</w:t>
      </w:r>
    </w:p>
    <w:p>
      <w:pPr>
        <w:pStyle w:val="List Paragraph"/>
        <w:numPr>
          <w:ilvl w:val="0"/>
          <w:numId w:val="2"/>
        </w:numPr>
        <w:bidi w:val="0"/>
        <w:ind w:right="0"/>
        <w:jc w:val="left"/>
        <w:rPr>
          <w:rFonts w:ascii="Arial" w:hAnsi="Arial"/>
          <w:b w:val="1"/>
          <w:bCs w:val="1"/>
          <w:outline w:val="0"/>
          <w:color w:val="2c363a"/>
          <w:rtl w:val="0"/>
          <w:lang w:val="en-US"/>
          <w14:textFill>
            <w14:solidFill>
              <w14:srgbClr w14:val="2C363A"/>
            </w14:solidFill>
          </w14:textFill>
        </w:rPr>
      </w:pPr>
      <w:r>
        <w:rPr>
          <w:rFonts w:ascii="Arial" w:hAnsi="Arial"/>
          <w:b w:val="1"/>
          <w:bCs w:val="1"/>
          <w:outline w:val="0"/>
          <w:color w:val="2c363a"/>
          <w:u w:color="2c363a"/>
          <w:rtl w:val="0"/>
          <w:lang w:val="en-US"/>
          <w14:textFill>
            <w14:solidFill>
              <w14:srgbClr w14:val="2C363A"/>
            </w14:solidFill>
          </w14:textFill>
        </w:rPr>
        <w:t xml:space="preserve">Consider response from Felindre Hall Committee regarding draft </w:t>
      </w:r>
      <w:r>
        <w:rPr>
          <w:rFonts w:ascii="Arial" w:hAnsi="Arial" w:hint="default"/>
          <w:b w:val="1"/>
          <w:bCs w:val="1"/>
          <w:outline w:val="0"/>
          <w:color w:val="2c363a"/>
          <w:u w:color="2c363a"/>
          <w:rtl w:val="0"/>
          <w:lang w:val="en-US"/>
          <w14:textFill>
            <w14:solidFill>
              <w14:srgbClr w14:val="2C363A"/>
            </w14:solidFill>
          </w14:textFill>
        </w:rPr>
        <w:t>“</w:t>
      </w:r>
      <w:r>
        <w:rPr>
          <w:rFonts w:ascii="Arial" w:hAnsi="Arial"/>
          <w:b w:val="1"/>
          <w:bCs w:val="1"/>
          <w:outline w:val="0"/>
          <w:color w:val="2c363a"/>
          <w:u w:color="2c363a"/>
          <w:rtl w:val="0"/>
          <w:lang w:val="en-US"/>
          <w14:textFill>
            <w14:solidFill>
              <w14:srgbClr w14:val="2C363A"/>
            </w14:solidFill>
          </w14:textFill>
        </w:rPr>
        <w:t>Licence to          Occupy</w:t>
      </w:r>
      <w:r>
        <w:rPr>
          <w:rFonts w:ascii="Arial" w:hAnsi="Arial" w:hint="default"/>
          <w:b w:val="1"/>
          <w:bCs w:val="1"/>
          <w:outline w:val="0"/>
          <w:color w:val="2c363a"/>
          <w:u w:color="2c363a"/>
          <w:rtl w:val="0"/>
          <w:lang w:val="en-US"/>
          <w14:textFill>
            <w14:solidFill>
              <w14:srgbClr w14:val="2C363A"/>
            </w14:solidFill>
          </w14:textFill>
        </w:rPr>
        <w:t xml:space="preserve">” </w:t>
      </w:r>
      <w:r>
        <w:rPr>
          <w:rFonts w:ascii="Arial" w:hAnsi="Arial"/>
          <w:b w:val="1"/>
          <w:bCs w:val="1"/>
          <w:outline w:val="0"/>
          <w:color w:val="2c363a"/>
          <w:u w:color="2c363a"/>
          <w:rtl w:val="0"/>
          <w:lang w:val="en-US"/>
          <w14:textFill>
            <w14:solidFill>
              <w14:srgbClr w14:val="2C363A"/>
            </w14:solidFill>
          </w14:textFill>
        </w:rPr>
        <w:t>and agree a way forward</w:t>
      </w:r>
    </w:p>
    <w:p>
      <w:pPr>
        <w:pStyle w:val="List Paragraph"/>
        <w:bidi w:val="0"/>
        <w:ind w:left="0" w:right="0" w:firstLine="0"/>
        <w:jc w:val="left"/>
        <w:rPr>
          <w:rFonts w:ascii="Arial" w:cs="Arial" w:hAnsi="Arial" w:eastAsia="Arial"/>
          <w:b w:val="1"/>
          <w:bCs w:val="1"/>
          <w:outline w:val="0"/>
          <w:color w:val="2c363a"/>
          <w:u w:color="2c363a"/>
          <w:rtl w:val="0"/>
          <w14:textFill>
            <w14:solidFill>
              <w14:srgbClr w14:val="2C363A"/>
            </w14:solidFill>
          </w14:textFill>
        </w:rPr>
      </w:pPr>
    </w:p>
    <w:p>
      <w:pPr>
        <w:pStyle w:val="Body A"/>
        <w:rPr>
          <w:rFonts w:ascii="Arial" w:cs="Arial" w:hAnsi="Arial" w:eastAsia="Arial"/>
          <w:outline w:val="0"/>
          <w:color w:val="2c363a"/>
          <w:u w:color="2c363a"/>
          <w14:textFill>
            <w14:solidFill>
              <w14:srgbClr w14:val="2C363A"/>
            </w14:solidFill>
          </w14:textFill>
        </w:rPr>
      </w:pPr>
      <w:r>
        <w:rPr>
          <w:rFonts w:ascii="Arial" w:cs="Arial" w:hAnsi="Arial" w:eastAsia="Arial"/>
          <w:outline w:val="0"/>
          <w:color w:val="2c363a"/>
          <w:u w:color="2c363a"/>
          <w14:textFill>
            <w14:solidFill>
              <w14:srgbClr w14:val="2C363A"/>
            </w14:solidFill>
          </w14:textFill>
        </w:rPr>
        <w:drawing xmlns:a="http://schemas.openxmlformats.org/drawingml/2006/main">
          <wp:anchor distT="152400" distB="152400" distL="152400" distR="152400" simplePos="0" relativeHeight="251659264" behindDoc="0" locked="0" layoutInCell="1" allowOverlap="1">
            <wp:simplePos x="0" y="0"/>
            <wp:positionH relativeFrom="page">
              <wp:posOffset>554355</wp:posOffset>
            </wp:positionH>
            <wp:positionV relativeFrom="line">
              <wp:posOffset>271119</wp:posOffset>
            </wp:positionV>
            <wp:extent cx="2794000" cy="1270001"/>
            <wp:effectExtent l="0" t="0" r="0" b="0"/>
            <wp:wrapSquare wrapText="bothSides" distL="152400" distR="152400" distT="152400" distB="152400"/>
            <wp:docPr id="1073741826" name="officeArt object" descr="Image Gallery"/>
            <wp:cNvGraphicFramePr/>
            <a:graphic xmlns:a="http://schemas.openxmlformats.org/drawingml/2006/main">
              <a:graphicData uri="http://schemas.openxmlformats.org/drawingml/2006/picture">
                <pic:pic xmlns:pic="http://schemas.openxmlformats.org/drawingml/2006/picture">
                  <pic:nvPicPr>
                    <pic:cNvPr id="1073741826" name="Image Gallery" descr="Image Gallery"/>
                    <pic:cNvPicPr>
                      <a:picLocks noChangeAspect="1"/>
                    </pic:cNvPicPr>
                  </pic:nvPicPr>
                  <pic:blipFill>
                    <a:blip r:embed="rId4">
                      <a:extLst/>
                    </a:blip>
                    <a:srcRect l="0" t="22697" r="0" b="22697"/>
                    <a:stretch>
                      <a:fillRect/>
                    </a:stretch>
                  </pic:blipFill>
                  <pic:spPr>
                    <a:xfrm>
                      <a:off x="0" y="0"/>
                      <a:ext cx="2794000" cy="1270001"/>
                    </a:xfrm>
                    <a:prstGeom prst="rect">
                      <a:avLst/>
                    </a:prstGeom>
                    <a:ln w="12700" cap="flat">
                      <a:noFill/>
                      <a:miter lim="400000"/>
                    </a:ln>
                    <a:effectLst/>
                  </pic:spPr>
                </pic:pic>
              </a:graphicData>
            </a:graphic>
          </wp:anchor>
        </w:drawing>
      </w:r>
    </w:p>
    <w:p>
      <w:pPr>
        <w:pStyle w:val="Body A"/>
        <w:rPr>
          <w:rFonts w:ascii="Arial" w:cs="Arial" w:hAnsi="Arial" w:eastAsia="Arial"/>
          <w:outline w:val="0"/>
          <w:color w:val="2c363a"/>
          <w:u w:color="2c363a"/>
          <w14:textFill>
            <w14:solidFill>
              <w14:srgbClr w14:val="2C363A"/>
            </w14:solidFill>
          </w14:textFill>
        </w:rPr>
      </w:pPr>
    </w:p>
    <w:p>
      <w:pPr>
        <w:pStyle w:val="Body A"/>
        <w:rPr>
          <w:rFonts w:ascii="Arial" w:cs="Arial" w:hAnsi="Arial" w:eastAsia="Arial"/>
          <w:outline w:val="0"/>
          <w:color w:val="2c363a"/>
          <w:u w:color="2c363a"/>
          <w14:textFill>
            <w14:solidFill>
              <w14:srgbClr w14:val="2C363A"/>
            </w14:solidFill>
          </w14:textFill>
        </w:rPr>
      </w:pPr>
    </w:p>
    <w:p>
      <w:pPr>
        <w:pStyle w:val="Body A"/>
        <w:rPr>
          <w:rFonts w:ascii="Arial" w:cs="Arial" w:hAnsi="Arial" w:eastAsia="Arial"/>
          <w:outline w:val="0"/>
          <w:color w:val="2c363a"/>
          <w:u w:color="2c363a"/>
          <w14:textFill>
            <w14:solidFill>
              <w14:srgbClr w14:val="2C363A"/>
            </w14:solidFill>
          </w14:textFill>
        </w:rPr>
      </w:pPr>
    </w:p>
    <w:p>
      <w:pPr>
        <w:pStyle w:val="Body A"/>
        <w:rPr>
          <w:rFonts w:ascii="Arial" w:cs="Arial" w:hAnsi="Arial" w:eastAsia="Arial"/>
          <w:outline w:val="0"/>
          <w:color w:val="2c363a"/>
          <w:u w:color="2c363a"/>
          <w14:textFill>
            <w14:solidFill>
              <w14:srgbClr w14:val="2C363A"/>
            </w14:solidFill>
          </w14:textFill>
        </w:rPr>
      </w:pPr>
      <w:r>
        <w:rPr>
          <w:rFonts w:ascii="Arial" w:hAnsi="Arial"/>
          <w:outline w:val="0"/>
          <w:color w:val="2c363a"/>
          <w:u w:color="2c363a"/>
          <w:rtl w:val="0"/>
          <w:lang w:val="en-US"/>
          <w14:textFill>
            <w14:solidFill>
              <w14:srgbClr w14:val="2C363A"/>
            </w14:solidFill>
          </w14:textFill>
        </w:rPr>
        <w:t>Susan Rodaway</w:t>
      </w:r>
    </w:p>
    <w:p>
      <w:pPr>
        <w:pStyle w:val="Body A"/>
        <w:rPr>
          <w:rFonts w:ascii="Arial" w:cs="Arial" w:hAnsi="Arial" w:eastAsia="Arial"/>
          <w:outline w:val="0"/>
          <w:color w:val="2c363a"/>
          <w:u w:color="2c363a"/>
          <w14:textFill>
            <w14:solidFill>
              <w14:srgbClr w14:val="2C363A"/>
            </w14:solidFill>
          </w14:textFill>
        </w:rPr>
      </w:pPr>
      <w:r>
        <w:rPr>
          <w:rFonts w:ascii="Arial" w:hAnsi="Arial"/>
          <w:outline w:val="0"/>
          <w:color w:val="2c363a"/>
          <w:u w:color="2c363a"/>
          <w:rtl w:val="0"/>
          <w:lang w:val="en-US"/>
          <w14:textFill>
            <w14:solidFill>
              <w14:srgbClr w14:val="2C363A"/>
            </w14:solidFill>
          </w14:textFill>
        </w:rPr>
        <w:t>Clerk/RFO</w:t>
      </w:r>
    </w:p>
    <w:p>
      <w:pPr>
        <w:pStyle w:val="Body A"/>
      </w:pPr>
      <w:r>
        <w:rPr>
          <w:rFonts w:ascii="Arial" w:hAnsi="Arial"/>
          <w:outline w:val="0"/>
          <w:color w:val="2c363a"/>
          <w:u w:color="2c363a"/>
          <w:rtl w:val="0"/>
          <w:lang w:val="en-US"/>
          <w14:textFill>
            <w14:solidFill>
              <w14:srgbClr w14:val="2C363A"/>
            </w14:solidFill>
          </w14:textFill>
        </w:rPr>
        <w:t>Mawr Community Council</w:t>
      </w:r>
    </w:p>
    <w:sectPr>
      <w:headerReference w:type="default" r:id="rId5"/>
      <w:footerReference w:type="default" r:id="rId6"/>
      <w:pgSz w:w="11900" w:h="16840" w:orient="portrait"/>
      <w:pgMar w:top="1440" w:right="821" w:bottom="1440" w:left="873" w:header="708" w:footer="708"/>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Calibr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Body A"/>
      <w:jc w:val="center"/>
    </w:pPr>
  </w:p>
  <w:p>
    <w:pPr>
      <w:pStyle w:val="Body A"/>
      <w:jc w:val="center"/>
      <w:rPr>
        <w:rFonts w:ascii="Arial" w:cs="Arial" w:hAnsi="Arial" w:eastAsia="Arial"/>
        <w:sz w:val="22"/>
        <w:szCs w:val="22"/>
      </w:rPr>
    </w:pPr>
    <w:r>
      <w:rPr>
        <w:rFonts w:ascii="Arial" w:hAnsi="Arial"/>
        <w:sz w:val="22"/>
        <w:szCs w:val="22"/>
        <w:rtl w:val="0"/>
        <w:lang w:val="en-US"/>
      </w:rPr>
      <w:t>Mawr Community Council, 38 Heatherslade Road, Southgate, Swansea, SA3 2DD</w:t>
    </w:r>
  </w:p>
  <w:p>
    <w:pPr>
      <w:pStyle w:val="footer"/>
      <w:jc w:val="center"/>
      <w:rPr>
        <w:rFonts w:ascii="Arial" w:cs="Arial" w:hAnsi="Arial" w:eastAsia="Arial"/>
        <w:sz w:val="22"/>
        <w:szCs w:val="22"/>
      </w:rPr>
    </w:pPr>
    <w:r>
      <w:rPr>
        <w:rFonts w:ascii="Arial" w:hAnsi="Arial"/>
        <w:sz w:val="22"/>
        <w:szCs w:val="22"/>
        <w:rtl w:val="0"/>
        <w:lang w:val="en-US"/>
      </w:rPr>
      <w:t>Tel: 07305 007575.  Email: officer@mawrcommunitycouncil.cymru</w:t>
    </w:r>
  </w:p>
  <w:p>
    <w:pPr>
      <w:pStyle w:val="footer"/>
      <w:jc w:val="center"/>
    </w:pPr>
    <w:r>
      <w:rPr>
        <w:rFonts w:ascii="Arial" w:hAnsi="Arial"/>
        <w:sz w:val="22"/>
        <w:szCs w:val="22"/>
        <w:rtl w:val="0"/>
        <w:lang w:val="en-US"/>
      </w:rPr>
      <w:t>www.mawrcommunitycouncil.org.uk</w:t>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w:jc w:val="center"/>
    </w:pPr>
    <w:r>
      <w:drawing xmlns:a="http://schemas.openxmlformats.org/drawingml/2006/main">
        <wp:anchor distT="152400" distB="152400" distL="152400" distR="152400" simplePos="0" relativeHeight="251658240" behindDoc="1" locked="0" layoutInCell="1" allowOverlap="1">
          <wp:simplePos x="0" y="0"/>
          <wp:positionH relativeFrom="page">
            <wp:posOffset>3105245</wp:posOffset>
          </wp:positionH>
          <wp:positionV relativeFrom="page">
            <wp:posOffset>154939</wp:posOffset>
          </wp:positionV>
          <wp:extent cx="1129031" cy="680085"/>
          <wp:effectExtent l="0" t="0" r="0" b="0"/>
          <wp:wrapNone/>
          <wp:docPr id="1073741825" name="officeArt object"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5" name="DiagramDescription automatically generated" descr="DiagramDescription automatically generated"/>
                  <pic:cNvPicPr>
                    <a:picLocks noChangeAspect="1"/>
                  </pic:cNvPicPr>
                </pic:nvPicPr>
                <pic:blipFill>
                  <a:blip r:embed="rId1">
                    <a:extLst/>
                  </a:blip>
                  <a:stretch>
                    <a:fillRect/>
                  </a:stretch>
                </pic:blipFill>
                <pic:spPr>
                  <a:xfrm>
                    <a:off x="0" y="0"/>
                    <a:ext cx="1129031" cy="680085"/>
                  </a:xfrm>
                  <a:prstGeom prst="rect">
                    <a:avLst/>
                  </a:prstGeom>
                  <a:ln w="12700" cap="flat">
                    <a:noFill/>
                    <a:miter lim="400000"/>
                  </a:ln>
                  <a:effectLst/>
                </pic:spPr>
              </pic:pic>
            </a:graphicData>
          </a:graphic>
        </wp:anchor>
      </w:drawing>
    </w: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Numbered"/>
  </w:abstractNum>
  <w:abstractNum w:abstractNumId="1">
    <w:multiLevelType w:val="hybridMultilevel"/>
    <w:styleLink w:val="Numbered"/>
    <w:lvl w:ilvl="0">
      <w:start w:val="1"/>
      <w:numFmt w:val="decimal"/>
      <w:suff w:val="tab"/>
      <w:lvlText w:val="%1."/>
      <w:lvlJc w:val="left"/>
      <w:pPr>
        <w:ind w:left="709" w:hanging="425"/>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509" w:hanging="425"/>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2309" w:hanging="425"/>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3109" w:hanging="425"/>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3909" w:hanging="425"/>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4709" w:hanging="425"/>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509" w:hanging="425"/>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6309" w:hanging="425"/>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7109" w:hanging="425"/>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0"/>
    <w:lvlOverride w:ilvl="0">
      <w:lvl w:ilvl="0">
        <w:start w:val="1"/>
        <w:numFmt w:val="decimal"/>
        <w:suff w:val="nothing"/>
        <w:lvlText w:val="%1."/>
        <w:lvlJc w:val="left"/>
        <w:pPr>
          <w:tabs>
            <w:tab w:val="left" w:pos="720"/>
          </w:tabs>
          <w:ind w:left="436" w:hanging="152"/>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tabs>
            <w:tab w:val="left" w:pos="720"/>
          </w:tabs>
          <w:ind w:left="1032" w:hanging="356"/>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tabs>
            <w:tab w:val="left" w:pos="720"/>
          </w:tabs>
          <w:ind w:left="1832" w:hanging="276"/>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4."/>
        <w:lvlJc w:val="left"/>
        <w:pPr>
          <w:tabs>
            <w:tab w:val="left" w:pos="720"/>
          </w:tabs>
          <w:ind w:left="2632" w:hanging="133"/>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tabs>
            <w:tab w:val="left" w:pos="720"/>
          </w:tabs>
          <w:ind w:left="3432" w:hanging="552"/>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tabs>
            <w:tab w:val="left" w:pos="720"/>
          </w:tabs>
          <w:ind w:left="4232" w:hanging="472"/>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720"/>
          </w:tabs>
          <w:ind w:left="5032" w:hanging="392"/>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tabs>
            <w:tab w:val="left" w:pos="720"/>
          </w:tabs>
          <w:ind w:left="5832" w:hanging="312"/>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tabs>
            <w:tab w:val="left" w:pos="720"/>
          </w:tabs>
          <w:ind w:left="6632" w:hanging="232"/>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w:name w:val="header"/>
    <w:next w:val="header"/>
    <w:pPr>
      <w:keepNext w:val="0"/>
      <w:keepLines w:val="0"/>
      <w:pageBreakBefore w:val="0"/>
      <w:widowControl w:val="1"/>
      <w:shd w:val="clear" w:color="auto" w:fill="auto"/>
      <w:tabs>
        <w:tab w:val="center" w:pos="4513"/>
        <w:tab w:val="right" w:pos="9026"/>
      </w:tabs>
      <w:suppressAutoHyphens w:val="0"/>
      <w:bidi w:val="0"/>
      <w:spacing w:before="0" w:after="0" w:line="240"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Fill>
        <w14:solidFill>
          <w14:srgbClr w14:val="000000"/>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paragraph" w:styleId="footer">
    <w:name w:val="footer"/>
    <w:next w:val="footer"/>
    <w:pPr>
      <w:keepNext w:val="0"/>
      <w:keepLines w:val="0"/>
      <w:pageBreakBefore w:val="0"/>
      <w:widowControl w:val="1"/>
      <w:shd w:val="clear" w:color="auto" w:fill="auto"/>
      <w:tabs>
        <w:tab w:val="center" w:pos="4513"/>
        <w:tab w:val="right" w:pos="9026"/>
      </w:tabs>
      <w:suppressAutoHyphens w:val="0"/>
      <w:bidi w:val="0"/>
      <w:spacing w:before="0" w:after="0" w:line="240"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Fill>
        <w14:solidFill>
          <w14:srgbClr w14:val="000000"/>
        </w14:solidFill>
      </w14:textFill>
    </w:r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0" w:line="240" w:lineRule="auto"/>
      <w:ind w:left="72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Fill>
        <w14:solidFill>
          <w14:srgbClr w14:val="000000"/>
        </w14:solidFill>
      </w14:textFill>
    </w:rPr>
  </w:style>
  <w:style w:type="numbering" w:styleId="Numbered">
    <w:name w:val="Numbered"/>
    <w:pPr>
      <w:numPr>
        <w:numId w:val="1"/>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tif"/><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numbering" Target="numbering.xml"/><Relationship Id="rId8" Type="http://schemas.openxmlformats.org/officeDocument/2006/relationships/theme" Target="theme/theme1.xml"/></Relationships>

</file>

<file path=word/_rels/header1.xml.rels><?xml version="1.0" encoding="UTF-8"?>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