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1275"/>
        <w:gridCol w:w="1065"/>
      </w:tblGrid>
      <w:tr w:rsidR="0004051E" w14:paraId="695A6403" w14:textId="77777777" w:rsidTr="00717131">
        <w:tc>
          <w:tcPr>
            <w:tcW w:w="2003" w:type="dxa"/>
          </w:tcPr>
          <w:p w14:paraId="35E467BE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166CC236" w14:textId="77777777" w:rsidR="00956AE6" w:rsidRDefault="004B0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65635174" w14:textId="77777777" w:rsidR="004B09DD" w:rsidRDefault="004B09DD">
            <w:pPr>
              <w:jc w:val="center"/>
              <w:rPr>
                <w:b/>
                <w:sz w:val="20"/>
                <w:szCs w:val="20"/>
              </w:rPr>
            </w:pPr>
          </w:p>
          <w:p w14:paraId="2E38C60E" w14:textId="6335C75D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="00590C6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5312C4AD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12100687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0BD72F2E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939ABC9" w14:textId="77777777" w:rsidR="004B09DD" w:rsidRPr="001943AE" w:rsidRDefault="004B09DD">
            <w:pPr>
              <w:jc w:val="center"/>
              <w:rPr>
                <w:b/>
                <w:sz w:val="20"/>
                <w:szCs w:val="20"/>
              </w:rPr>
            </w:pPr>
          </w:p>
          <w:p w14:paraId="14802114" w14:textId="34CC9A21" w:rsidR="0004051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>p to £</w:t>
            </w:r>
            <w:r w:rsidR="00717131">
              <w:rPr>
                <w:b/>
                <w:sz w:val="20"/>
                <w:szCs w:val="20"/>
              </w:rPr>
              <w:t>0</w:t>
            </w:r>
            <w:r w:rsidR="00956AE6" w:rsidRPr="001943AE">
              <w:rPr>
                <w:b/>
                <w:sz w:val="20"/>
                <w:szCs w:val="20"/>
              </w:rPr>
              <w:t xml:space="preserve">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1281B4B1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14FD952A" w14:textId="77777777" w:rsidR="00956AE6" w:rsidRPr="005F07C1" w:rsidRDefault="00DD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5F501BD6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1F48C7B2" w14:textId="77777777" w:rsidR="00956AE6" w:rsidRDefault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487C0206" w14:textId="77777777" w:rsidR="007067FA" w:rsidRDefault="007067FA">
            <w:pPr>
              <w:jc w:val="center"/>
              <w:rPr>
                <w:b/>
                <w:sz w:val="20"/>
                <w:szCs w:val="20"/>
              </w:rPr>
            </w:pPr>
          </w:p>
          <w:p w14:paraId="17FC6FBB" w14:textId="75869E83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4A571BFE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0AD9CEEC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60E3D992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201EABD4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53B2AC2C" w14:textId="77777777" w:rsidR="00956AE6" w:rsidRDefault="00956AE6">
            <w:pPr>
              <w:jc w:val="center"/>
              <w:rPr>
                <w:b/>
                <w:sz w:val="20"/>
                <w:szCs w:val="20"/>
              </w:rPr>
            </w:pPr>
          </w:p>
          <w:p w14:paraId="0883EAC1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47D1AEA0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52251906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743DE068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D6DED6" w14:textId="77777777" w:rsidR="0004051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422F5E55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2E42AB43" w14:textId="77777777" w:rsidR="00770324" w:rsidRDefault="000405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4EB0EEA6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14:paraId="74C030D1" w14:textId="4DCCD7D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  <w:r w:rsidR="00717131">
              <w:rPr>
                <w:b/>
                <w:sz w:val="20"/>
                <w:szCs w:val="20"/>
              </w:rPr>
              <w:t xml:space="preserve"> Expenses</w:t>
            </w:r>
          </w:p>
        </w:tc>
        <w:tc>
          <w:tcPr>
            <w:tcW w:w="1065" w:type="dxa"/>
          </w:tcPr>
          <w:p w14:paraId="0C1DABF4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01F3507F" w14:textId="77777777" w:rsidTr="00717131">
        <w:tc>
          <w:tcPr>
            <w:tcW w:w="2003" w:type="dxa"/>
          </w:tcPr>
          <w:p w14:paraId="4BBBC605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A87C1D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AE5D9F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34A649F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2E2A8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BE1808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CABF2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4D2FDE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F322008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1039838" w14:textId="77777777" w:rsidR="00956AE6" w:rsidRPr="006530A0" w:rsidRDefault="00956AE6">
            <w:pPr>
              <w:jc w:val="center"/>
              <w:rPr>
                <w:sz w:val="20"/>
                <w:szCs w:val="20"/>
              </w:rPr>
            </w:pPr>
          </w:p>
        </w:tc>
      </w:tr>
      <w:tr w:rsidR="007067FA" w14:paraId="633283D6" w14:textId="77777777" w:rsidTr="00717131">
        <w:tc>
          <w:tcPr>
            <w:tcW w:w="2003" w:type="dxa"/>
            <w:vAlign w:val="bottom"/>
          </w:tcPr>
          <w:p w14:paraId="1884E726" w14:textId="4B7FE813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Linda Frame</w:t>
            </w:r>
          </w:p>
        </w:tc>
        <w:tc>
          <w:tcPr>
            <w:tcW w:w="1441" w:type="dxa"/>
            <w:vAlign w:val="bottom"/>
          </w:tcPr>
          <w:p w14:paraId="3DA45DB1" w14:textId="51D762EA" w:rsidR="007067FA" w:rsidRPr="006530A0" w:rsidRDefault="009131D6" w:rsidP="007067FA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£</w:t>
            </w:r>
            <w:r w:rsidR="00590C63" w:rsidRPr="009131D6">
              <w:rPr>
                <w:sz w:val="20"/>
                <w:szCs w:val="20"/>
              </w:rPr>
              <w:t>156</w:t>
            </w:r>
          </w:p>
        </w:tc>
        <w:tc>
          <w:tcPr>
            <w:tcW w:w="1583" w:type="dxa"/>
            <w:vAlign w:val="bottom"/>
          </w:tcPr>
          <w:p w14:paraId="65AB34AD" w14:textId="0AF3774B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  <w:vAlign w:val="bottom"/>
          </w:tcPr>
          <w:p w14:paraId="7410C7D5" w14:textId="33A6AACE" w:rsidR="007067FA" w:rsidRPr="009131D6" w:rsidRDefault="007067FA" w:rsidP="007067FA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£</w:t>
            </w:r>
            <w:r w:rsidR="00590C63" w:rsidRPr="009131D6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vAlign w:val="bottom"/>
          </w:tcPr>
          <w:p w14:paraId="42CF214D" w14:textId="533D62AA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  <w:vAlign w:val="bottom"/>
          </w:tcPr>
          <w:p w14:paraId="1F3D689B" w14:textId="2553D279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11E2CFCA" w14:textId="7C40302F" w:rsidR="007067FA" w:rsidRPr="009131D6" w:rsidRDefault="007067FA" w:rsidP="007067FA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454A24D1" w14:textId="24A12CFE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487334C0" w14:textId="3322C566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EC0430">
              <w:rPr>
                <w:sz w:val="20"/>
                <w:szCs w:val="20"/>
              </w:rPr>
              <w:t>234.97</w:t>
            </w:r>
          </w:p>
        </w:tc>
        <w:tc>
          <w:tcPr>
            <w:tcW w:w="1065" w:type="dxa"/>
          </w:tcPr>
          <w:p w14:paraId="06BB86E4" w14:textId="581FB747" w:rsidR="007067FA" w:rsidRPr="006530A0" w:rsidRDefault="007067FA" w:rsidP="0070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EC0430">
              <w:rPr>
                <w:sz w:val="20"/>
                <w:szCs w:val="20"/>
              </w:rPr>
              <w:t>890.97</w:t>
            </w:r>
          </w:p>
        </w:tc>
      </w:tr>
      <w:tr w:rsidR="00717131" w14:paraId="4197FDCC" w14:textId="77777777" w:rsidTr="00717131">
        <w:tc>
          <w:tcPr>
            <w:tcW w:w="2003" w:type="dxa"/>
            <w:vAlign w:val="bottom"/>
          </w:tcPr>
          <w:p w14:paraId="29B463BA" w14:textId="0DFEAC4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Darren James</w:t>
            </w:r>
          </w:p>
        </w:tc>
        <w:tc>
          <w:tcPr>
            <w:tcW w:w="1441" w:type="dxa"/>
            <w:vAlign w:val="bottom"/>
          </w:tcPr>
          <w:p w14:paraId="08629A02" w14:textId="2A04A616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  <w:vAlign w:val="bottom"/>
          </w:tcPr>
          <w:p w14:paraId="49BB047C" w14:textId="680FA24A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  <w:vAlign w:val="bottom"/>
          </w:tcPr>
          <w:p w14:paraId="26A7E702" w14:textId="7362882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  <w:vAlign w:val="bottom"/>
          </w:tcPr>
          <w:p w14:paraId="12560907" w14:textId="1B8BCD04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  <w:vAlign w:val="bottom"/>
          </w:tcPr>
          <w:p w14:paraId="09A50818" w14:textId="256B694E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  <w:vAlign w:val="bottom"/>
          </w:tcPr>
          <w:p w14:paraId="1B343D30" w14:textId="76E3269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3E1C2451" w14:textId="703DFD79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  <w:vAlign w:val="bottom"/>
          </w:tcPr>
          <w:p w14:paraId="58AA1503" w14:textId="45E047EC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065" w:type="dxa"/>
          </w:tcPr>
          <w:p w14:paraId="0FF4E8E9" w14:textId="2E6BC486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</w:tr>
      <w:tr w:rsidR="00717131" w14:paraId="3F603FF6" w14:textId="77777777" w:rsidTr="00590C63">
        <w:trPr>
          <w:trHeight w:val="106"/>
        </w:trPr>
        <w:tc>
          <w:tcPr>
            <w:tcW w:w="2003" w:type="dxa"/>
            <w:vAlign w:val="bottom"/>
          </w:tcPr>
          <w:p w14:paraId="4B3AA408" w14:textId="4B5404EB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Caroline Williams</w:t>
            </w:r>
          </w:p>
        </w:tc>
        <w:tc>
          <w:tcPr>
            <w:tcW w:w="1441" w:type="dxa"/>
            <w:vAlign w:val="bottom"/>
          </w:tcPr>
          <w:p w14:paraId="23B3A1CC" w14:textId="6580A30F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  <w:vAlign w:val="bottom"/>
          </w:tcPr>
          <w:p w14:paraId="3D52CF40" w14:textId="7A9744E0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  <w:vAlign w:val="bottom"/>
          </w:tcPr>
          <w:p w14:paraId="2CE5904F" w14:textId="6F87A815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  <w:vAlign w:val="bottom"/>
          </w:tcPr>
          <w:p w14:paraId="7DDDFA2A" w14:textId="2EBEE282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  <w:vAlign w:val="bottom"/>
          </w:tcPr>
          <w:p w14:paraId="47D32ACC" w14:textId="0CB2D743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  <w:vAlign w:val="bottom"/>
          </w:tcPr>
          <w:p w14:paraId="0B1DB299" w14:textId="7DF2C288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0D594CEF" w14:textId="0EFF55FB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  <w:vAlign w:val="bottom"/>
          </w:tcPr>
          <w:p w14:paraId="35E92CE4" w14:textId="60E26621" w:rsidR="00717131" w:rsidRPr="006530A0" w:rsidRDefault="00717131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065" w:type="dxa"/>
          </w:tcPr>
          <w:p w14:paraId="4D6BE5EB" w14:textId="14B6E848" w:rsidR="00717131" w:rsidRPr="006530A0" w:rsidRDefault="007067FA" w:rsidP="00717131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</w:tr>
      <w:tr w:rsidR="009131D6" w14:paraId="499F70F5" w14:textId="77777777" w:rsidTr="00717131">
        <w:tc>
          <w:tcPr>
            <w:tcW w:w="2003" w:type="dxa"/>
          </w:tcPr>
          <w:p w14:paraId="43A2328B" w14:textId="54F8BA44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Morgan-Beattie</w:t>
            </w:r>
          </w:p>
        </w:tc>
        <w:tc>
          <w:tcPr>
            <w:tcW w:w="1441" w:type="dxa"/>
          </w:tcPr>
          <w:p w14:paraId="4079DBDB" w14:textId="3EFA9BEA" w:rsidR="009131D6" w:rsidRPr="009131D6" w:rsidRDefault="009131D6" w:rsidP="009131D6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£132</w:t>
            </w:r>
          </w:p>
        </w:tc>
        <w:tc>
          <w:tcPr>
            <w:tcW w:w="1583" w:type="dxa"/>
          </w:tcPr>
          <w:p w14:paraId="1DF446D7" w14:textId="70B761EB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3F4E5742" w14:textId="3A56E234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3B765ECF" w14:textId="7ACE206F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47201140" w14:textId="5BAFD873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3442AD3A" w14:textId="2E637680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CFC4FE6" w14:textId="55917FD8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769235D8" w14:textId="4A571CB5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65" w:type="dxa"/>
          </w:tcPr>
          <w:p w14:paraId="62289315" w14:textId="4874FF8A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£132</w:t>
            </w:r>
          </w:p>
        </w:tc>
      </w:tr>
      <w:tr w:rsidR="009131D6" w14:paraId="5A53831C" w14:textId="77777777" w:rsidTr="00717131">
        <w:tc>
          <w:tcPr>
            <w:tcW w:w="2003" w:type="dxa"/>
          </w:tcPr>
          <w:p w14:paraId="04BD492A" w14:textId="44517D4D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Aled Williams</w:t>
            </w:r>
          </w:p>
        </w:tc>
        <w:tc>
          <w:tcPr>
            <w:tcW w:w="1441" w:type="dxa"/>
          </w:tcPr>
          <w:p w14:paraId="6CAC81C8" w14:textId="0E44D29C" w:rsidR="009131D6" w:rsidRPr="009131D6" w:rsidRDefault="009131D6" w:rsidP="009131D6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£52</w:t>
            </w:r>
          </w:p>
        </w:tc>
        <w:tc>
          <w:tcPr>
            <w:tcW w:w="1583" w:type="dxa"/>
          </w:tcPr>
          <w:p w14:paraId="30FBD855" w14:textId="0C9594B6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48A70653" w14:textId="3230BE22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4AAA8900" w14:textId="50BF3198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0B569F98" w14:textId="040F9C4E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15352E7D" w14:textId="38C5D76E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4452197" w14:textId="49E2675F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5B266FD3" w14:textId="0AF535EE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65" w:type="dxa"/>
          </w:tcPr>
          <w:p w14:paraId="6C9CE6EA" w14:textId="66093CBE" w:rsidR="009131D6" w:rsidRPr="006530A0" w:rsidRDefault="00EC0430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£52</w:t>
            </w:r>
          </w:p>
        </w:tc>
      </w:tr>
      <w:tr w:rsidR="009131D6" w14:paraId="376D7A0D" w14:textId="77777777" w:rsidTr="00717131">
        <w:tc>
          <w:tcPr>
            <w:tcW w:w="2003" w:type="dxa"/>
          </w:tcPr>
          <w:p w14:paraId="50D9BCC9" w14:textId="09201970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Catherine Evans</w:t>
            </w:r>
          </w:p>
        </w:tc>
        <w:tc>
          <w:tcPr>
            <w:tcW w:w="1441" w:type="dxa"/>
          </w:tcPr>
          <w:p w14:paraId="4C2C4F46" w14:textId="53477758" w:rsidR="009131D6" w:rsidRPr="009131D6" w:rsidRDefault="009131D6" w:rsidP="009131D6">
            <w:pPr>
              <w:jc w:val="center"/>
              <w:rPr>
                <w:sz w:val="20"/>
                <w:szCs w:val="20"/>
              </w:rPr>
            </w:pPr>
            <w:r w:rsidRPr="009131D6"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5AEA0B9E" w14:textId="701ADE84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5FCC8869" w14:textId="12FADEA5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449A0015" w14:textId="51DE6404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6301FA99" w14:textId="65EC1EB8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5DF798AC" w14:textId="18E66304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EA8D732" w14:textId="0DA4828E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2E549BC4" w14:textId="7C22ADB2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65" w:type="dxa"/>
          </w:tcPr>
          <w:p w14:paraId="7EE878C1" w14:textId="74282BC1" w:rsidR="009131D6" w:rsidRPr="006530A0" w:rsidRDefault="00EC0430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9131D6" w14:paraId="625108C9" w14:textId="77777777" w:rsidTr="00717131">
        <w:tc>
          <w:tcPr>
            <w:tcW w:w="2003" w:type="dxa"/>
          </w:tcPr>
          <w:p w14:paraId="7DF01AF6" w14:textId="248BE2FE" w:rsidR="009131D6" w:rsidRPr="00590C63" w:rsidRDefault="00AF0FAD" w:rsidP="009131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 Davies</w:t>
            </w:r>
          </w:p>
        </w:tc>
        <w:tc>
          <w:tcPr>
            <w:tcW w:w="1441" w:type="dxa"/>
          </w:tcPr>
          <w:p w14:paraId="7F475230" w14:textId="41F8A063" w:rsidR="009131D6" w:rsidRPr="00590C63" w:rsidRDefault="00AF0FAD" w:rsidP="009131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583" w:type="dxa"/>
          </w:tcPr>
          <w:p w14:paraId="6E290155" w14:textId="55E56D66" w:rsidR="009131D6" w:rsidRPr="006530A0" w:rsidRDefault="00AF0FAD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36250A7F" w14:textId="5135DFFA" w:rsidR="009131D6" w:rsidRPr="006530A0" w:rsidRDefault="00AF0FAD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46108447" w14:textId="45F4C503" w:rsidR="009131D6" w:rsidRPr="006530A0" w:rsidRDefault="00AF0FAD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02AF5EFB" w14:textId="7396A6DF" w:rsidR="009131D6" w:rsidRPr="006530A0" w:rsidRDefault="00AF0FAD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1CDB65BA" w14:textId="5EE03412" w:rsidR="009131D6" w:rsidRPr="006530A0" w:rsidRDefault="00AF0FAD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7DA604C" w14:textId="26FF33E9" w:rsidR="009131D6" w:rsidRPr="006530A0" w:rsidRDefault="00AF0FAD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7FAD1846" w14:textId="1D852579" w:rsidR="009131D6" w:rsidRPr="006530A0" w:rsidRDefault="00AF0FAD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65" w:type="dxa"/>
          </w:tcPr>
          <w:p w14:paraId="2E893F60" w14:textId="3983B93B" w:rsidR="009131D6" w:rsidRPr="006530A0" w:rsidRDefault="00AF0FAD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9131D6" w14:paraId="259AB216" w14:textId="77777777" w:rsidTr="00717131">
        <w:tc>
          <w:tcPr>
            <w:tcW w:w="2003" w:type="dxa"/>
          </w:tcPr>
          <w:p w14:paraId="59CAE8BA" w14:textId="77777777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584EFC03" w14:textId="77777777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14:paraId="6926F420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6706531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6BC0D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921DA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248E05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6695040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387972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E97EE37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</w:tr>
      <w:tr w:rsidR="009131D6" w14:paraId="43E52F78" w14:textId="77777777" w:rsidTr="00717131">
        <w:tc>
          <w:tcPr>
            <w:tcW w:w="2003" w:type="dxa"/>
          </w:tcPr>
          <w:p w14:paraId="3AAEC471" w14:textId="77777777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5DB303B5" w14:textId="77777777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14:paraId="37A21CBB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3513F0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ACE81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10F6A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94C92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9B48A5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A3E9FFB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F8C494E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</w:tr>
      <w:tr w:rsidR="009131D6" w14:paraId="24C835E4" w14:textId="77777777" w:rsidTr="00717131">
        <w:tc>
          <w:tcPr>
            <w:tcW w:w="2003" w:type="dxa"/>
          </w:tcPr>
          <w:p w14:paraId="4A5AEB6E" w14:textId="77777777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1D06B6D3" w14:textId="77777777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14:paraId="25A08AA8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AF405E2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26115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A31C05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6F144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A128483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726204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62717C9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</w:tr>
      <w:tr w:rsidR="009131D6" w14:paraId="16FBFD0E" w14:textId="77777777" w:rsidTr="00717131">
        <w:tc>
          <w:tcPr>
            <w:tcW w:w="2003" w:type="dxa"/>
          </w:tcPr>
          <w:p w14:paraId="2FC82453" w14:textId="77777777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2C265C58" w14:textId="77777777" w:rsidR="009131D6" w:rsidRPr="00590C63" w:rsidRDefault="009131D6" w:rsidP="009131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14:paraId="56B16DCA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FCDC5B5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269D1A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65BB1A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780F5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DAAE66F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570958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60E2059" w14:textId="7777777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</w:p>
        </w:tc>
      </w:tr>
      <w:tr w:rsidR="009131D6" w14:paraId="6FCDD1B0" w14:textId="77777777" w:rsidTr="00717131">
        <w:tc>
          <w:tcPr>
            <w:tcW w:w="2003" w:type="dxa"/>
          </w:tcPr>
          <w:p w14:paraId="5C27CC57" w14:textId="53B6B8FD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7DD6FFAA" w14:textId="097F680D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£340</w:t>
            </w:r>
          </w:p>
        </w:tc>
        <w:tc>
          <w:tcPr>
            <w:tcW w:w="1583" w:type="dxa"/>
          </w:tcPr>
          <w:p w14:paraId="3C1B29B3" w14:textId="50255F57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791B8520" w14:textId="28889929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</w:t>
            </w:r>
          </w:p>
        </w:tc>
        <w:tc>
          <w:tcPr>
            <w:tcW w:w="1843" w:type="dxa"/>
          </w:tcPr>
          <w:p w14:paraId="2FCF194F" w14:textId="2EA4C389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370AA8C4" w14:textId="47C84E60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2EF94278" w14:textId="4585701D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Nil</w:t>
            </w:r>
          </w:p>
        </w:tc>
        <w:tc>
          <w:tcPr>
            <w:tcW w:w="1843" w:type="dxa"/>
          </w:tcPr>
          <w:p w14:paraId="2B77B236" w14:textId="65BB392F" w:rsidR="009131D6" w:rsidRPr="00717131" w:rsidRDefault="009131D6" w:rsidP="009131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Total CPA: </w:t>
            </w:r>
            <w:r>
              <w:rPr>
                <w:bCs/>
              </w:rPr>
              <w:t>Nil</w:t>
            </w:r>
          </w:p>
        </w:tc>
        <w:tc>
          <w:tcPr>
            <w:tcW w:w="1275" w:type="dxa"/>
          </w:tcPr>
          <w:p w14:paraId="29FC996F" w14:textId="77B455C8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EC0430">
              <w:rPr>
                <w:sz w:val="20"/>
                <w:szCs w:val="20"/>
              </w:rPr>
              <w:t>234.97</w:t>
            </w:r>
          </w:p>
        </w:tc>
        <w:tc>
          <w:tcPr>
            <w:tcW w:w="1065" w:type="dxa"/>
          </w:tcPr>
          <w:p w14:paraId="5A970CAB" w14:textId="6C170B5D" w:rsidR="009131D6" w:rsidRPr="006530A0" w:rsidRDefault="009131D6" w:rsidP="0091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EC0430">
              <w:rPr>
                <w:sz w:val="20"/>
                <w:szCs w:val="20"/>
              </w:rPr>
              <w:t>1074.97</w:t>
            </w:r>
          </w:p>
        </w:tc>
      </w:tr>
    </w:tbl>
    <w:p w14:paraId="62449161" w14:textId="77777777" w:rsidR="0095378C" w:rsidRDefault="0095378C" w:rsidP="00717131"/>
    <w:sectPr w:rsidR="0095378C" w:rsidSect="00077F5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7E2B" w14:textId="77777777" w:rsidR="00077F51" w:rsidRDefault="00077F51" w:rsidP="007E64DC">
      <w:r>
        <w:separator/>
      </w:r>
    </w:p>
  </w:endnote>
  <w:endnote w:type="continuationSeparator" w:id="0">
    <w:p w14:paraId="58D7FB3F" w14:textId="77777777" w:rsidR="00077F51" w:rsidRDefault="00077F51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31B8" w14:textId="77777777" w:rsidR="0095378C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F613" w14:textId="77777777" w:rsidR="00077F51" w:rsidRDefault="00077F51" w:rsidP="007E64DC">
      <w:r>
        <w:separator/>
      </w:r>
    </w:p>
  </w:footnote>
  <w:footnote w:type="continuationSeparator" w:id="0">
    <w:p w14:paraId="55AF4414" w14:textId="77777777" w:rsidR="00077F51" w:rsidRDefault="00077F51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589E" w14:textId="34B5C42E" w:rsidR="0095378C" w:rsidRPr="00147558" w:rsidRDefault="007C698C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967619">
      <w:rPr>
        <w:b/>
        <w:i/>
        <w:u w:val="single"/>
      </w:rPr>
      <w:t xml:space="preserve">MAWR COMMUNITY COUNCIL </w:t>
    </w: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590C63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590C63">
      <w:rPr>
        <w:b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DC"/>
    <w:rsid w:val="0004051E"/>
    <w:rsid w:val="00077F51"/>
    <w:rsid w:val="000E48B5"/>
    <w:rsid w:val="00184480"/>
    <w:rsid w:val="00284EFE"/>
    <w:rsid w:val="002D0DB2"/>
    <w:rsid w:val="00301647"/>
    <w:rsid w:val="004761EC"/>
    <w:rsid w:val="004B09DD"/>
    <w:rsid w:val="005105AD"/>
    <w:rsid w:val="00585ADB"/>
    <w:rsid w:val="00590C63"/>
    <w:rsid w:val="005F07C1"/>
    <w:rsid w:val="007067FA"/>
    <w:rsid w:val="00717131"/>
    <w:rsid w:val="00734CA1"/>
    <w:rsid w:val="00770324"/>
    <w:rsid w:val="00773165"/>
    <w:rsid w:val="007C698C"/>
    <w:rsid w:val="007E64DC"/>
    <w:rsid w:val="009131D6"/>
    <w:rsid w:val="0095378C"/>
    <w:rsid w:val="00956AE6"/>
    <w:rsid w:val="00967619"/>
    <w:rsid w:val="00967DB6"/>
    <w:rsid w:val="00A55188"/>
    <w:rsid w:val="00AF0FAD"/>
    <w:rsid w:val="00B86025"/>
    <w:rsid w:val="00BA647C"/>
    <w:rsid w:val="00C300CA"/>
    <w:rsid w:val="00CC4B51"/>
    <w:rsid w:val="00CD2843"/>
    <w:rsid w:val="00D206D7"/>
    <w:rsid w:val="00DD2D22"/>
    <w:rsid w:val="00DD44DC"/>
    <w:rsid w:val="00E04FFF"/>
    <w:rsid w:val="00EC0430"/>
    <w:rsid w:val="00F2605D"/>
    <w:rsid w:val="00F3066E"/>
    <w:rsid w:val="00F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EC55"/>
  <w15:docId w15:val="{ECA53FE4-1F50-774B-876C-2E6A7A8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34C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(CRLG - Local Government)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mawrcouncil@outlook.com</cp:lastModifiedBy>
  <cp:revision>2</cp:revision>
  <dcterms:created xsi:type="dcterms:W3CDTF">2024-03-28T15:03:00Z</dcterms:created>
  <dcterms:modified xsi:type="dcterms:W3CDTF">2024-04-11T10:02:00Z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(CRLG - Local Government)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